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Kerri Sullivan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Activity # 6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10/18/15</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The first philosophy I agree with would be the concept of idealism in our education systems. I think our school systems do not have kids best interests in mind when teaching. Teachers strive to meet department requirements and cover info that will be tested. They do not waste time of matters that kids might not be tested on leaving no room for creativity and personalization in education. This aspect of controlled curriculum also affects the way kids  view their education. Instead of going to school to learn and grasp new information they go to school with the mindset that their purpose is to learn information for the sole purpose of passing a test or getting homework done just to complete the assignment. Kids lose the true value of being lucky enough to receive a valuable education and be knowledgeable about the world in that we live in. Because of this kids do not learn to gain knowledge they learn to just get by</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Another philosophie I can relate to is the perspective of the Experimentalist. I feel as though the world is always changing and education should change with it. For example banning cell phones  from schools is being ignorant. Now that i am in college in some of my classes i am free to use my phone at my leasure. This allows me to use all the functions of my phone like use my notes section to add to my to do list, book mark due dates in my calendar, and take pictures of notes during class. Old school administrators probably feel as though phones are distracting ( i'm not saying that they are not) and only can be used for texting but in reality phones has many functions that allow for furthering kids education and making their lives easier. This goes for laptops in high schools as well. I have friends that went to private school who had a lot of curriculum online and had access to their laptops during class and were integrated into their learning process. Now that i am at college everything is like that. But at my private school laptops in class were not a thing probably because not everyone going to a public school should be expected to pay for their own laptop. maybe a characteristic of the “No Child Left Behind” policy. </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